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4808"/>
        <w:gridCol w:w="3943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4A2B68" w:rsidRDefault="00AD2065" w:rsidP="00445DB0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2014 </w:t>
            </w:r>
            <w:r w:rsidR="00A205E4">
              <w:rPr>
                <w:rFonts w:asciiTheme="majorHAnsi" w:eastAsiaTheme="majorEastAsia" w:hAnsiTheme="majorHAnsi" w:cstheme="majorBidi"/>
                <w:sz w:val="36"/>
                <w:szCs w:val="36"/>
              </w:rPr>
              <w:t>ARALIK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AD2065" w:rsidP="00445DB0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ENFLASYON RAKAMLARI</w:t>
            </w:r>
          </w:p>
        </w:tc>
        <w:tc>
          <w:tcPr>
            <w:tcW w:w="4678" w:type="dxa"/>
          </w:tcPr>
          <w:p w:rsidR="00AD2065" w:rsidRDefault="00A205E4" w:rsidP="00A205E4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05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Ocak 2015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A205E4" w:rsidP="00AD2065">
      <w:pPr>
        <w:rPr>
          <w:b/>
        </w:rPr>
      </w:pPr>
      <w:r>
        <w:rPr>
          <w:b/>
        </w:rPr>
        <w:t>Aralık</w:t>
      </w:r>
      <w:r w:rsidR="00EF4E45" w:rsidRPr="00EF4E45">
        <w:rPr>
          <w:b/>
        </w:rPr>
        <w:t xml:space="preserve"> 2014 Tüketici Fiyat Endeksi’ne(TÜFE) ilişkin veriler Türkiye İstat</w:t>
      </w:r>
      <w:r w:rsidR="00445DB0">
        <w:rPr>
          <w:b/>
        </w:rPr>
        <w:t xml:space="preserve">istik Kurumu (TÜİK) tarafından </w:t>
      </w:r>
      <w:r>
        <w:rPr>
          <w:b/>
        </w:rPr>
        <w:t>5</w:t>
      </w:r>
      <w:r w:rsidR="00EF4E45" w:rsidRPr="00EF4E45">
        <w:rPr>
          <w:b/>
        </w:rPr>
        <w:t xml:space="preserve"> </w:t>
      </w:r>
      <w:r>
        <w:rPr>
          <w:b/>
        </w:rPr>
        <w:t>Ocak</w:t>
      </w:r>
      <w:r w:rsidR="00EF4E45" w:rsidRPr="00EF4E45">
        <w:rPr>
          <w:b/>
        </w:rPr>
        <w:t xml:space="preserve"> 2014 tarihinde yayımlandı.</w:t>
      </w:r>
    </w:p>
    <w:p w:rsidR="00DF5145" w:rsidRPr="003A57CB" w:rsidRDefault="00EF4E45" w:rsidP="00EF4E45">
      <w:pPr>
        <w:rPr>
          <w:sz w:val="14"/>
          <w:szCs w:val="14"/>
        </w:rPr>
      </w:pPr>
      <w:r>
        <w:t>TÜİK tarafından aylık yayımlanan TÜFE, kentlerde yaşayan hanelerin tükettiği mal ve hizmet fiyatlarının zaman içindeki ortalama değişim hakkında bilgi vermektedir.</w:t>
      </w:r>
    </w:p>
    <w:p w:rsidR="00256F87" w:rsidRDefault="00256F87" w:rsidP="00256F87">
      <w:pPr>
        <w:pStyle w:val="Balk2"/>
      </w:pPr>
      <w:r>
        <w:t xml:space="preserve">TÜFE aylık </w:t>
      </w:r>
      <w:proofErr w:type="gramStart"/>
      <w:r>
        <w:t>bazda</w:t>
      </w:r>
      <w:proofErr w:type="gramEnd"/>
      <w:r>
        <w:t xml:space="preserve"> yüzde 0.44 oranında düşerken, yıllık bazda ise yüzde 8.17’lik bir artış yaşamıştır.</w:t>
      </w:r>
    </w:p>
    <w:p w:rsidR="004A2B68" w:rsidRPr="00C144CC" w:rsidRDefault="00A205E4" w:rsidP="004A2B68">
      <w:pPr>
        <w:jc w:val="both"/>
      </w:pPr>
      <w:r>
        <w:t>Aralık</w:t>
      </w:r>
      <w:r w:rsidR="004A2B68" w:rsidRPr="00C144CC">
        <w:t xml:space="preserve"> ayında Türkiye (TR) Geneli TÜFE endeksi (Tablo 1) bir önceki aya (</w:t>
      </w:r>
      <w:r w:rsidR="00256F87">
        <w:t>Kasım</w:t>
      </w:r>
      <w:r w:rsidR="004A2B68">
        <w:t xml:space="preserve"> 2014) göre yüzde </w:t>
      </w:r>
      <w:r w:rsidR="00256F87">
        <w:t>-0.44</w:t>
      </w:r>
      <w:r w:rsidR="004A2B68" w:rsidRPr="00C144CC">
        <w:t xml:space="preserve"> </w:t>
      </w:r>
      <w:r w:rsidR="00256F87">
        <w:t>düşerek</w:t>
      </w:r>
      <w:r w:rsidR="004A2B68" w:rsidRPr="00C144CC">
        <w:t xml:space="preserve"> 24</w:t>
      </w:r>
      <w:r w:rsidR="00256F87">
        <w:t>7,72</w:t>
      </w:r>
      <w:r w:rsidR="004A2B68" w:rsidRPr="00C144CC">
        <w:t xml:space="preserve"> değeri</w:t>
      </w:r>
      <w:r w:rsidR="004A2B68">
        <w:t>ni</w:t>
      </w:r>
      <w:r w:rsidR="004A2B68" w:rsidRPr="00C144CC">
        <w:t xml:space="preserve"> almıştır</w:t>
      </w:r>
      <w:r w:rsidR="004A2B68">
        <w:t xml:space="preserve">. </w:t>
      </w:r>
      <w:r w:rsidR="004A2B68" w:rsidRPr="00C144CC">
        <w:t xml:space="preserve">Endeks bir önceki yılın aynı ayına göre </w:t>
      </w:r>
      <w:r w:rsidR="00256F87">
        <w:t xml:space="preserve">ise </w:t>
      </w:r>
      <w:r w:rsidR="004A2B68" w:rsidRPr="00C144CC">
        <w:t xml:space="preserve">yüzde </w:t>
      </w:r>
      <w:r w:rsidR="00256F87">
        <w:t>8.17</w:t>
      </w:r>
      <w:r w:rsidR="004A2B68">
        <w:t xml:space="preserve"> </w:t>
      </w:r>
      <w:r w:rsidR="004A2B68" w:rsidRPr="00C144CC">
        <w:t xml:space="preserve">oranında artış göstermiştir. </w:t>
      </w:r>
      <w:r w:rsidR="00256F87">
        <w:t>Aralık</w:t>
      </w:r>
      <w:r w:rsidR="004A2B68" w:rsidRPr="00C144CC">
        <w:t xml:space="preserve"> (2014) ayında ana harcama grupları itibariyle </w:t>
      </w:r>
      <w:r w:rsidR="00256F87">
        <w:t xml:space="preserve">aylık </w:t>
      </w:r>
      <w:r w:rsidR="004A2B68" w:rsidRPr="00C144CC">
        <w:t xml:space="preserve">en yüksek artış </w:t>
      </w:r>
      <w:r w:rsidR="004A2B68">
        <w:t xml:space="preserve">yüzde </w:t>
      </w:r>
      <w:r w:rsidR="00256F87">
        <w:t>o.79</w:t>
      </w:r>
      <w:r w:rsidR="004A2B68" w:rsidRPr="00C144CC">
        <w:t xml:space="preserve"> ile </w:t>
      </w:r>
      <w:r w:rsidR="00256F87">
        <w:t>çeşitli mal ve hizmetler</w:t>
      </w:r>
      <w:r w:rsidR="004A2B68" w:rsidRPr="00C144CC">
        <w:t xml:space="preserve"> grubunda yaşanırken, bunu yüzde </w:t>
      </w:r>
      <w:r w:rsidR="00256F87">
        <w:t>0,51</w:t>
      </w:r>
      <w:r w:rsidR="004A2B68" w:rsidRPr="00C144CC">
        <w:t xml:space="preserve"> artışla </w:t>
      </w:r>
      <w:r w:rsidR="00256F87">
        <w:t>lokanta ve oteller</w:t>
      </w:r>
      <w:r w:rsidR="004A2B68" w:rsidRPr="00C144CC">
        <w:t xml:space="preserve"> ve yüzde </w:t>
      </w:r>
      <w:r w:rsidR="00256F87">
        <w:t>0,13</w:t>
      </w:r>
      <w:r w:rsidR="004A2B68" w:rsidRPr="00C144CC">
        <w:t xml:space="preserve"> artışla </w:t>
      </w:r>
      <w:r w:rsidR="00256F87">
        <w:t>sağlık ve konut grupları</w:t>
      </w:r>
      <w:r w:rsidR="004A2B68" w:rsidRPr="00C144CC">
        <w:t xml:space="preserve"> takip etmektedir. </w:t>
      </w:r>
      <w:r w:rsidR="004A2B68">
        <w:t>D</w:t>
      </w:r>
      <w:r w:rsidR="004A2B68" w:rsidRPr="00C144CC">
        <w:t>üşüş gösteren ana</w:t>
      </w:r>
      <w:r w:rsidR="004A2B68">
        <w:t xml:space="preserve"> harcama kategorileri ise yüzde </w:t>
      </w:r>
      <w:r w:rsidR="00256F87">
        <w:t>3.71</w:t>
      </w:r>
      <w:r w:rsidR="004A2B68" w:rsidRPr="00C144CC">
        <w:t xml:space="preserve"> (negatif) i</w:t>
      </w:r>
      <w:r w:rsidR="004A2B68">
        <w:t xml:space="preserve">le </w:t>
      </w:r>
      <w:r w:rsidR="00256F87">
        <w:t>giyim ve ayakkabı grubu, yüzde 1.78</w:t>
      </w:r>
      <w:r w:rsidR="004A2B68">
        <w:t xml:space="preserve"> (negatif) ile </w:t>
      </w:r>
      <w:r w:rsidR="00256F87">
        <w:t>haberleşme ve yüzde 0.11</w:t>
      </w:r>
      <w:r w:rsidR="004A2B68">
        <w:t xml:space="preserve"> (negatif) ile </w:t>
      </w:r>
      <w:r w:rsidR="00256F87">
        <w:t xml:space="preserve">alkollü içecekler ve tütün </w:t>
      </w:r>
      <w:r w:rsidR="004A2B68">
        <w:t>grubudur.</w:t>
      </w:r>
      <w:r w:rsidR="004A2B68" w:rsidRPr="00C144CC">
        <w:t xml:space="preserve"> </w:t>
      </w:r>
    </w:p>
    <w:p w:rsidR="004A2B68" w:rsidRPr="00A65ED8" w:rsidRDefault="004A2B68" w:rsidP="004A2B68">
      <w:pPr>
        <w:pStyle w:val="ResimYazs"/>
        <w:keepNext/>
        <w:rPr>
          <w:sz w:val="20"/>
        </w:rPr>
      </w:pPr>
      <w:r w:rsidRPr="00A65ED8">
        <w:rPr>
          <w:sz w:val="20"/>
        </w:rPr>
        <w:t xml:space="preserve">Tablo </w:t>
      </w:r>
      <w:r w:rsidR="00B23335" w:rsidRPr="00A65ED8">
        <w:rPr>
          <w:sz w:val="20"/>
        </w:rPr>
        <w:fldChar w:fldCharType="begin"/>
      </w:r>
      <w:r w:rsidR="00B23335" w:rsidRPr="00A65ED8">
        <w:rPr>
          <w:sz w:val="20"/>
        </w:rPr>
        <w:instrText xml:space="preserve"> SEQ Tablo \* ARABIC </w:instrText>
      </w:r>
      <w:r w:rsidR="00B23335" w:rsidRPr="00A65ED8">
        <w:rPr>
          <w:sz w:val="20"/>
        </w:rPr>
        <w:fldChar w:fldCharType="separate"/>
      </w:r>
      <w:r w:rsidRPr="00A65ED8">
        <w:rPr>
          <w:noProof/>
          <w:sz w:val="20"/>
        </w:rPr>
        <w:t>1</w:t>
      </w:r>
      <w:r w:rsidR="00B23335" w:rsidRPr="00A65ED8">
        <w:rPr>
          <w:sz w:val="20"/>
        </w:rPr>
        <w:fldChar w:fldCharType="end"/>
      </w:r>
      <w:r w:rsidRPr="00A65ED8">
        <w:rPr>
          <w:sz w:val="20"/>
        </w:rPr>
        <w:t>: Ana harcama gruplarına göre tüketici fiyat endeksi ve değişim oranları</w:t>
      </w:r>
    </w:p>
    <w:bookmarkStart w:id="0" w:name="_MON_1473601776"/>
    <w:bookmarkEnd w:id="0"/>
    <w:p w:rsidR="000701FD" w:rsidRDefault="00A65ED8" w:rsidP="00EF4E45">
      <w:pPr>
        <w:rPr>
          <w:sz w:val="14"/>
          <w:szCs w:val="14"/>
        </w:rPr>
      </w:pPr>
      <w:r w:rsidRPr="00432DF5">
        <w:rPr>
          <w:sz w:val="14"/>
          <w:szCs w:val="14"/>
        </w:rPr>
        <w:object w:dxaOrig="9145" w:dyaOrig="40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204pt" o:ole="">
            <v:imagedata r:id="rId7" o:title=""/>
          </v:shape>
          <o:OLEObject Type="Embed" ProgID="Excel.Sheet.12" ShapeID="_x0000_i1025" DrawAspect="Content" ObjectID="_1481986824" r:id="rId8"/>
        </w:object>
      </w:r>
    </w:p>
    <w:p w:rsidR="00C144CC" w:rsidRDefault="00C144CC" w:rsidP="00C144CC">
      <w:pPr>
        <w:rPr>
          <w:sz w:val="14"/>
          <w:szCs w:val="14"/>
        </w:rPr>
      </w:pPr>
      <w:r>
        <w:rPr>
          <w:sz w:val="14"/>
          <w:szCs w:val="14"/>
        </w:rPr>
        <w:t>*Bir önceki yılın aynı ayına göre enflasyon değişimi</w:t>
      </w:r>
    </w:p>
    <w:p w:rsidR="00C144CC" w:rsidRDefault="00C144CC" w:rsidP="00C144CC">
      <w:pPr>
        <w:rPr>
          <w:sz w:val="14"/>
          <w:szCs w:val="14"/>
        </w:rPr>
      </w:pPr>
      <w:r>
        <w:rPr>
          <w:sz w:val="14"/>
          <w:szCs w:val="14"/>
        </w:rPr>
        <w:t>**Aynı yılın bir önceki ayına göre enflasyon değişimi</w:t>
      </w:r>
    </w:p>
    <w:p w:rsidR="00C144CC" w:rsidRPr="0070186C" w:rsidRDefault="006D41B5" w:rsidP="00C144CC">
      <w:pPr>
        <w:jc w:val="both"/>
        <w:rPr>
          <w:b/>
        </w:rPr>
      </w:pPr>
      <w:r w:rsidRPr="00D2299D">
        <w:t>Ana harcama grup endekslerindeki yüzde artışlar bu harcama gruplarının tüketici sepeti içindeki</w:t>
      </w:r>
      <w:r w:rsidR="00C144CC" w:rsidRPr="00D2299D">
        <w:t xml:space="preserve"> </w:t>
      </w:r>
      <w:r w:rsidR="008E68DE">
        <w:t>ağırlıkları</w:t>
      </w:r>
      <w:r w:rsidRPr="00D2299D">
        <w:t xml:space="preserve"> </w:t>
      </w:r>
      <w:r w:rsidR="008E68DE">
        <w:t>(</w:t>
      </w:r>
      <w:r w:rsidRPr="00D2299D">
        <w:t>ortalama</w:t>
      </w:r>
      <w:r w:rsidR="008E68DE">
        <w:t xml:space="preserve"> -</w:t>
      </w:r>
      <w:r w:rsidRPr="00D2299D">
        <w:t xml:space="preserve">TÜFE </w:t>
      </w:r>
      <w:r w:rsidR="00C144CC" w:rsidRPr="00D2299D">
        <w:t>temelli</w:t>
      </w:r>
      <w:r w:rsidR="008E68DE">
        <w:t>-</w:t>
      </w:r>
      <w:r w:rsidRPr="00D2299D">
        <w:t xml:space="preserve"> enflasyona etkileri</w:t>
      </w:r>
      <w:r w:rsidR="008E68DE">
        <w:t>)</w:t>
      </w:r>
      <w:r w:rsidRPr="00D2299D">
        <w:t xml:space="preserve"> </w:t>
      </w:r>
      <w:r w:rsidR="008E68DE">
        <w:t>Tablo 1’de</w:t>
      </w:r>
      <w:r w:rsidRPr="00D2299D">
        <w:t xml:space="preserve"> verilmiştir. </w:t>
      </w:r>
      <w:r w:rsidR="008E68DE">
        <w:t xml:space="preserve">Buna göre, </w:t>
      </w:r>
      <w:r w:rsidR="00AD4BE8">
        <w:t xml:space="preserve">yıllık enflasyonda </w:t>
      </w:r>
      <w:r w:rsidRPr="00D2299D">
        <w:t>en büyük etki</w:t>
      </w:r>
      <w:r w:rsidR="00AD4BE8">
        <w:t>nin</w:t>
      </w:r>
      <w:r w:rsidRPr="00D2299D">
        <w:t xml:space="preserve"> (</w:t>
      </w:r>
      <w:r w:rsidR="00AD4BE8">
        <w:t>3.11</w:t>
      </w:r>
      <w:r w:rsidRPr="00D2299D">
        <w:t xml:space="preserve">) </w:t>
      </w:r>
      <w:r w:rsidR="00AD4BE8">
        <w:t>gıda ve alkolsüz içecekler</w:t>
      </w:r>
      <w:r w:rsidR="00C144CC" w:rsidRPr="00D2299D">
        <w:t xml:space="preserve"> </w:t>
      </w:r>
      <w:r w:rsidR="008E68DE">
        <w:t>ve</w:t>
      </w:r>
      <w:r w:rsidR="00C05F0D">
        <w:t xml:space="preserve"> (</w:t>
      </w:r>
      <w:r w:rsidR="00AD4BE8">
        <w:t>1.12</w:t>
      </w:r>
      <w:r w:rsidR="008C2C15" w:rsidRPr="00D2299D">
        <w:t xml:space="preserve">) </w:t>
      </w:r>
      <w:r w:rsidR="00A65ED8">
        <w:t>konut</w:t>
      </w:r>
      <w:r w:rsidR="00C05F0D">
        <w:t xml:space="preserve"> </w:t>
      </w:r>
      <w:r w:rsidRPr="00D2299D">
        <w:t xml:space="preserve">gruplarından </w:t>
      </w:r>
      <w:r w:rsidR="00A65ED8">
        <w:lastRenderedPageBreak/>
        <w:t>gelmekte olduğu görülmektedir</w:t>
      </w:r>
      <w:r w:rsidRPr="00D2299D">
        <w:t xml:space="preserve">. </w:t>
      </w:r>
      <w:r w:rsidR="00A65ED8">
        <w:t>Diğer grupların etkisi ise pozitif olmakla birlikte 1 puanın altında kalmaktadır.</w:t>
      </w:r>
    </w:p>
    <w:p w:rsidR="00F61E01" w:rsidRDefault="004A2B68" w:rsidP="004A2B68">
      <w:pPr>
        <w:pStyle w:val="Balk3"/>
        <w:rPr>
          <w:noProof/>
          <w:sz w:val="14"/>
        </w:rPr>
      </w:pPr>
      <w:r w:rsidRPr="006020BD">
        <w:t xml:space="preserve">Tablo 2:  </w:t>
      </w:r>
      <w:r w:rsidR="00F61E01">
        <w:t xml:space="preserve">Yıllık </w:t>
      </w:r>
      <w:r w:rsidRPr="006020BD">
        <w:t>enflasyon değişim</w:t>
      </w:r>
      <w:r w:rsidR="00F61E01">
        <w:t xml:space="preserve"> oranları (2004-2013)</w:t>
      </w:r>
      <w:r>
        <w:rPr>
          <w:noProof/>
          <w:sz w:val="14"/>
        </w:rPr>
        <w:t xml:space="preserve"> </w:t>
      </w:r>
    </w:p>
    <w:p w:rsidR="006D41B5" w:rsidRDefault="00256F87" w:rsidP="004A2B68">
      <w:pPr>
        <w:pStyle w:val="Balk3"/>
        <w:rPr>
          <w:sz w:val="14"/>
        </w:rPr>
      </w:pPr>
      <w:r w:rsidRPr="00256F87">
        <w:rPr>
          <w:sz w:val="14"/>
        </w:rPr>
        <w:drawing>
          <wp:inline distT="0" distB="0" distL="0" distR="0">
            <wp:extent cx="5572125" cy="2743200"/>
            <wp:effectExtent l="0" t="0" r="0" b="0"/>
            <wp:docPr id="4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D41B5" w:rsidRPr="003A57CB" w:rsidRDefault="006D41B5" w:rsidP="00EF4E45">
      <w:pPr>
        <w:rPr>
          <w:sz w:val="14"/>
          <w:szCs w:val="14"/>
        </w:rPr>
      </w:pPr>
    </w:p>
    <w:p w:rsidR="007736BE" w:rsidRDefault="000701FD">
      <w:pPr>
        <w:rPr>
          <w:sz w:val="14"/>
          <w:szCs w:val="14"/>
        </w:rPr>
      </w:pPr>
      <w:r w:rsidRPr="003A57CB">
        <w:rPr>
          <w:sz w:val="14"/>
          <w:szCs w:val="14"/>
        </w:rPr>
        <w:tab/>
      </w:r>
      <w:r w:rsidRPr="003A57CB">
        <w:rPr>
          <w:sz w:val="14"/>
          <w:szCs w:val="14"/>
        </w:rPr>
        <w:tab/>
      </w:r>
      <w:r w:rsidRPr="003A57CB">
        <w:rPr>
          <w:sz w:val="14"/>
          <w:szCs w:val="14"/>
        </w:rPr>
        <w:tab/>
      </w:r>
      <w:r w:rsidRPr="003A57CB">
        <w:rPr>
          <w:sz w:val="14"/>
          <w:szCs w:val="14"/>
        </w:rPr>
        <w:tab/>
      </w:r>
    </w:p>
    <w:p w:rsidR="007736BE" w:rsidRDefault="007736BE">
      <w:pPr>
        <w:rPr>
          <w:sz w:val="14"/>
          <w:szCs w:val="14"/>
        </w:rPr>
      </w:pPr>
    </w:p>
    <w:p w:rsidR="009F54F1" w:rsidRDefault="00C144CC" w:rsidP="009F54F1">
      <w:pPr>
        <w:ind w:left="2160" w:firstLine="720"/>
        <w:rPr>
          <w:b/>
          <w:sz w:val="14"/>
          <w:szCs w:val="14"/>
        </w:rPr>
      </w:pPr>
      <w:r w:rsidRPr="00C144CC">
        <w:rPr>
          <w:b/>
          <w:sz w:val="14"/>
          <w:szCs w:val="14"/>
        </w:rPr>
        <w:tab/>
      </w:r>
      <w:r w:rsidRPr="00C144CC">
        <w:rPr>
          <w:b/>
          <w:sz w:val="14"/>
          <w:szCs w:val="14"/>
        </w:rPr>
        <w:tab/>
      </w:r>
      <w:r w:rsidRPr="00C144CC">
        <w:rPr>
          <w:b/>
          <w:sz w:val="14"/>
          <w:szCs w:val="14"/>
        </w:rPr>
        <w:tab/>
      </w:r>
    </w:p>
    <w:p w:rsidR="009F54F1" w:rsidRDefault="004A2B68" w:rsidP="004A2B68">
      <w:pPr>
        <w:pStyle w:val="Balk3"/>
        <w:rPr>
          <w:sz w:val="14"/>
        </w:rPr>
      </w:pPr>
      <w:r w:rsidRPr="006020BD">
        <w:t>Tablo 3:</w:t>
      </w:r>
      <w:r w:rsidR="00F61E01">
        <w:t xml:space="preserve"> </w:t>
      </w:r>
      <w:r w:rsidR="00AD4BE8">
        <w:t>Aylara göre yıllık</w:t>
      </w:r>
      <w:r w:rsidR="00F61E01">
        <w:t xml:space="preserve"> </w:t>
      </w:r>
      <w:r w:rsidRPr="006020BD">
        <w:t xml:space="preserve">enflasyon </w:t>
      </w:r>
      <w:r w:rsidR="00F61E01">
        <w:t>değişim oranları (2013-2014)</w:t>
      </w:r>
    </w:p>
    <w:p w:rsidR="00EF4E45" w:rsidRPr="003A57CB" w:rsidRDefault="00AD4BE8" w:rsidP="00474880">
      <w:pPr>
        <w:ind w:left="567" w:hanging="567"/>
        <w:rPr>
          <w:sz w:val="14"/>
          <w:szCs w:val="14"/>
        </w:rPr>
      </w:pPr>
      <w:r w:rsidRPr="00AD4BE8">
        <w:rPr>
          <w:sz w:val="14"/>
          <w:szCs w:val="14"/>
        </w:rPr>
        <w:drawing>
          <wp:inline distT="0" distB="0" distL="0" distR="0">
            <wp:extent cx="5667375" cy="2743200"/>
            <wp:effectExtent l="0" t="0" r="0" b="0"/>
            <wp:docPr id="5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0701FD" w:rsidRPr="003A57CB">
        <w:rPr>
          <w:sz w:val="14"/>
          <w:szCs w:val="14"/>
        </w:rPr>
        <w:tab/>
      </w:r>
      <w:r w:rsidR="000701FD" w:rsidRPr="003A57CB">
        <w:rPr>
          <w:sz w:val="14"/>
          <w:szCs w:val="14"/>
        </w:rPr>
        <w:tab/>
      </w:r>
      <w:r w:rsidR="000701FD" w:rsidRPr="003A57CB">
        <w:rPr>
          <w:sz w:val="14"/>
          <w:szCs w:val="14"/>
        </w:rPr>
        <w:tab/>
      </w:r>
      <w:r w:rsidR="000701FD" w:rsidRPr="003A57CB">
        <w:rPr>
          <w:sz w:val="14"/>
          <w:szCs w:val="14"/>
        </w:rPr>
        <w:tab/>
      </w:r>
      <w:r w:rsidR="000701FD" w:rsidRPr="003A57CB">
        <w:rPr>
          <w:sz w:val="14"/>
          <w:szCs w:val="14"/>
        </w:rPr>
        <w:tab/>
      </w:r>
    </w:p>
    <w:sectPr w:rsidR="00EF4E45" w:rsidRPr="003A57CB" w:rsidSect="008E68DE">
      <w:pgSz w:w="12240" w:h="15840"/>
      <w:pgMar w:top="1417" w:right="1417" w:bottom="1417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23355"/>
    <w:rsid w:val="000701FD"/>
    <w:rsid w:val="000D18BE"/>
    <w:rsid w:val="001E5A63"/>
    <w:rsid w:val="001F7633"/>
    <w:rsid w:val="00233BD5"/>
    <w:rsid w:val="00256F87"/>
    <w:rsid w:val="002D3E19"/>
    <w:rsid w:val="00357954"/>
    <w:rsid w:val="003641B3"/>
    <w:rsid w:val="003A57CB"/>
    <w:rsid w:val="00432DF5"/>
    <w:rsid w:val="00445DB0"/>
    <w:rsid w:val="00474880"/>
    <w:rsid w:val="004A2B68"/>
    <w:rsid w:val="005405F5"/>
    <w:rsid w:val="00574C38"/>
    <w:rsid w:val="005C53F8"/>
    <w:rsid w:val="006020BD"/>
    <w:rsid w:val="006D41B5"/>
    <w:rsid w:val="0070186C"/>
    <w:rsid w:val="0070700B"/>
    <w:rsid w:val="00714580"/>
    <w:rsid w:val="00731B2B"/>
    <w:rsid w:val="007441EB"/>
    <w:rsid w:val="007736BE"/>
    <w:rsid w:val="008269E0"/>
    <w:rsid w:val="008C2C15"/>
    <w:rsid w:val="008D1077"/>
    <w:rsid w:val="008E68DE"/>
    <w:rsid w:val="009F54F1"/>
    <w:rsid w:val="00A205E4"/>
    <w:rsid w:val="00A65ED8"/>
    <w:rsid w:val="00A77365"/>
    <w:rsid w:val="00AD2065"/>
    <w:rsid w:val="00AD4BE8"/>
    <w:rsid w:val="00B23335"/>
    <w:rsid w:val="00B80CFF"/>
    <w:rsid w:val="00BC294E"/>
    <w:rsid w:val="00BC5F10"/>
    <w:rsid w:val="00C05F0D"/>
    <w:rsid w:val="00C144CC"/>
    <w:rsid w:val="00C21D8B"/>
    <w:rsid w:val="00CC7D5F"/>
    <w:rsid w:val="00D2299D"/>
    <w:rsid w:val="00D23355"/>
    <w:rsid w:val="00D46E06"/>
    <w:rsid w:val="00DC5FDC"/>
    <w:rsid w:val="00DE7934"/>
    <w:rsid w:val="00EF4E45"/>
    <w:rsid w:val="00F6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A2B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4A2B6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A2B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uiPriority w:val="9"/>
    <w:rsid w:val="004A2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A2B68"/>
    <w:rPr>
      <w:rFonts w:asciiTheme="majorHAnsi" w:eastAsiaTheme="majorEastAsia" w:hAnsiTheme="majorHAnsi" w:cstheme="majorBidi"/>
      <w:b/>
      <w:bCs/>
      <w:color w:val="4F81BD" w:themeColor="accent1"/>
      <w:lang w:val="tr-TR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A2B68"/>
    <w:rPr>
      <w:rFonts w:asciiTheme="majorHAnsi" w:eastAsiaTheme="majorEastAsia" w:hAnsiTheme="majorHAnsi" w:cstheme="majorBidi"/>
      <w:b/>
      <w:bCs/>
      <w:i/>
      <w:iCs/>
      <w:color w:val="4F81BD" w:themeColor="accent1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A2B6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al__ma_Sayfas_1.xlsx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autoTitleDeleted val="1"/>
    <c:plotArea>
      <c:layout/>
      <c:lineChart>
        <c:grouping val="standard"/>
        <c:ser>
          <c:idx val="0"/>
          <c:order val="0"/>
          <c:tx>
            <c:strRef>
              <c:f>Sayfa1!$A$4</c:f>
              <c:strCache>
                <c:ptCount val="1"/>
                <c:pt idx="0">
                  <c:v>enflasyon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tr-TR"/>
              </a:p>
            </c:txPr>
            <c:showVal val="1"/>
          </c:dLbls>
          <c:cat>
            <c:numRef>
              <c:f>Sayfa1!$B$3:$L$3</c:f>
              <c:numCache>
                <c:formatCode>General</c:formatCode>
                <c:ptCount val="11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</c:numCache>
            </c:numRef>
          </c:cat>
          <c:val>
            <c:numRef>
              <c:f>Sayfa1!$B$4:$L$4</c:f>
              <c:numCache>
                <c:formatCode>General</c:formatCode>
                <c:ptCount val="11"/>
                <c:pt idx="0">
                  <c:v>9.3500000000000014</c:v>
                </c:pt>
                <c:pt idx="1">
                  <c:v>7.72</c:v>
                </c:pt>
                <c:pt idx="2">
                  <c:v>9.65</c:v>
                </c:pt>
                <c:pt idx="3">
                  <c:v>8.39</c:v>
                </c:pt>
                <c:pt idx="4">
                  <c:v>10.06</c:v>
                </c:pt>
                <c:pt idx="5">
                  <c:v>6.53</c:v>
                </c:pt>
                <c:pt idx="6">
                  <c:v>6.4</c:v>
                </c:pt>
                <c:pt idx="7">
                  <c:v>10.450000000000001</c:v>
                </c:pt>
                <c:pt idx="8">
                  <c:v>6.1599999999999993</c:v>
                </c:pt>
                <c:pt idx="9">
                  <c:v>7.4</c:v>
                </c:pt>
                <c:pt idx="10">
                  <c:v>8.17</c:v>
                </c:pt>
              </c:numCache>
            </c:numRef>
          </c:val>
        </c:ser>
        <c:marker val="1"/>
        <c:axId val="103014400"/>
        <c:axId val="103016320"/>
      </c:lineChart>
      <c:catAx>
        <c:axId val="103014400"/>
        <c:scaling>
          <c:orientation val="minMax"/>
        </c:scaling>
        <c:axPos val="b"/>
        <c:numFmt formatCode="General" sourceLinked="1"/>
        <c:tickLblPos val="nextTo"/>
        <c:crossAx val="103016320"/>
        <c:crosses val="autoZero"/>
        <c:auto val="1"/>
        <c:lblAlgn val="ctr"/>
        <c:lblOffset val="100"/>
      </c:catAx>
      <c:valAx>
        <c:axId val="103016320"/>
        <c:scaling>
          <c:orientation val="minMax"/>
        </c:scaling>
        <c:axPos val="l"/>
        <c:majorGridlines/>
        <c:numFmt formatCode="General" sourceLinked="1"/>
        <c:tickLblPos val="nextTo"/>
        <c:crossAx val="10301440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plotArea>
      <c:layout>
        <c:manualLayout>
          <c:layoutTarget val="inner"/>
          <c:xMode val="edge"/>
          <c:yMode val="edge"/>
          <c:x val="5.8074681841240448E-2"/>
          <c:y val="5.1400554097404488E-2"/>
          <c:w val="0.91216621451730284"/>
          <c:h val="0.63725503062117261"/>
        </c:manualLayout>
      </c:layout>
      <c:lineChart>
        <c:grouping val="standard"/>
        <c:ser>
          <c:idx val="0"/>
          <c:order val="0"/>
          <c:tx>
            <c:strRef>
              <c:f>Sayfa1!$A$7</c:f>
              <c:strCache>
                <c:ptCount val="1"/>
                <c:pt idx="0">
                  <c:v>2013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tr-TR"/>
              </a:p>
            </c:txPr>
            <c:showVal val="1"/>
          </c:dLbls>
          <c:cat>
            <c:strRef>
              <c:f>Sayfa1!$B$6:$M$6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Sayfa1!$B$7:$M$7</c:f>
              <c:numCache>
                <c:formatCode>General</c:formatCode>
                <c:ptCount val="12"/>
                <c:pt idx="0">
                  <c:v>7.31</c:v>
                </c:pt>
                <c:pt idx="1">
                  <c:v>7.03</c:v>
                </c:pt>
                <c:pt idx="2">
                  <c:v>7.29</c:v>
                </c:pt>
                <c:pt idx="3">
                  <c:v>6.13</c:v>
                </c:pt>
                <c:pt idx="4">
                  <c:v>6.51</c:v>
                </c:pt>
                <c:pt idx="5">
                  <c:v>8.3000000000000007</c:v>
                </c:pt>
                <c:pt idx="6">
                  <c:v>8.8800000000000008</c:v>
                </c:pt>
                <c:pt idx="7">
                  <c:v>8.17</c:v>
                </c:pt>
                <c:pt idx="8">
                  <c:v>7.88</c:v>
                </c:pt>
                <c:pt idx="9">
                  <c:v>7.71</c:v>
                </c:pt>
                <c:pt idx="10">
                  <c:v>7.3199999999999994</c:v>
                </c:pt>
                <c:pt idx="11">
                  <c:v>7.4</c:v>
                </c:pt>
              </c:numCache>
            </c:numRef>
          </c:val>
        </c:ser>
        <c:ser>
          <c:idx val="1"/>
          <c:order val="1"/>
          <c:tx>
            <c:strRef>
              <c:f>Sayfa1!$A$8</c:f>
              <c:strCache>
                <c:ptCount val="1"/>
                <c:pt idx="0">
                  <c:v>2014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b="1"/>
                </a:pPr>
                <a:endParaRPr lang="tr-TR"/>
              </a:p>
            </c:txPr>
            <c:showVal val="1"/>
          </c:dLbls>
          <c:cat>
            <c:strRef>
              <c:f>Sayfa1!$B$6:$M$6</c:f>
              <c:strCache>
                <c:ptCount val="12"/>
                <c:pt idx="0">
                  <c:v>Ocak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Sayfa1!$B$8:$M$8</c:f>
              <c:numCache>
                <c:formatCode>General</c:formatCode>
                <c:ptCount val="12"/>
                <c:pt idx="0">
                  <c:v>7.75</c:v>
                </c:pt>
                <c:pt idx="1">
                  <c:v>7.89</c:v>
                </c:pt>
                <c:pt idx="2">
                  <c:v>8.39</c:v>
                </c:pt>
                <c:pt idx="3">
                  <c:v>9.3800000000000008</c:v>
                </c:pt>
                <c:pt idx="4">
                  <c:v>9.66</c:v>
                </c:pt>
                <c:pt idx="5">
                  <c:v>9.16</c:v>
                </c:pt>
                <c:pt idx="6">
                  <c:v>9.32</c:v>
                </c:pt>
                <c:pt idx="7">
                  <c:v>9.5400000000000009</c:v>
                </c:pt>
                <c:pt idx="8">
                  <c:v>8.8600000000000012</c:v>
                </c:pt>
                <c:pt idx="9">
                  <c:v>8.9600000000000026</c:v>
                </c:pt>
                <c:pt idx="10">
                  <c:v>9.15</c:v>
                </c:pt>
                <c:pt idx="11">
                  <c:v>8.17</c:v>
                </c:pt>
              </c:numCache>
            </c:numRef>
          </c:val>
        </c:ser>
        <c:marker val="1"/>
        <c:axId val="108145664"/>
        <c:axId val="109675648"/>
      </c:lineChart>
      <c:catAx>
        <c:axId val="108145664"/>
        <c:scaling>
          <c:orientation val="minMax"/>
        </c:scaling>
        <c:axPos val="b"/>
        <c:tickLblPos val="nextTo"/>
        <c:crossAx val="109675648"/>
        <c:crosses val="autoZero"/>
        <c:auto val="1"/>
        <c:lblAlgn val="ctr"/>
        <c:lblOffset val="100"/>
      </c:catAx>
      <c:valAx>
        <c:axId val="109675648"/>
        <c:scaling>
          <c:orientation val="minMax"/>
        </c:scaling>
        <c:axPos val="l"/>
        <c:majorGridlines/>
        <c:numFmt formatCode="General" sourceLinked="1"/>
        <c:tickLblPos val="nextTo"/>
        <c:crossAx val="108145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8568340722115626"/>
          <c:y val="0.88387540099154271"/>
          <c:w val="0.49372822514832709"/>
          <c:h val="0.11187882764654417"/>
        </c:manualLayout>
      </c:layout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F1B0BA-AA8E-4698-AD97-97A7ECE0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ZEN 17</cp:lastModifiedBy>
  <cp:revision>2</cp:revision>
  <dcterms:created xsi:type="dcterms:W3CDTF">2015-01-05T16:14:00Z</dcterms:created>
  <dcterms:modified xsi:type="dcterms:W3CDTF">2015-01-05T16:14:00Z</dcterms:modified>
</cp:coreProperties>
</file>